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 w:firstLine="0" w:left="6094"/>
        <w:rPr>
          <w:sz w:val="28"/>
        </w:rPr>
      </w:pPr>
      <w:r>
        <w:rPr>
          <w:sz w:val="28"/>
        </w:rPr>
        <w:t>ПРИЛОЖЕНИЕ</w:t>
      </w:r>
    </w:p>
    <w:p w14:paraId="03000000">
      <w:pPr>
        <w:ind w:firstLine="0" w:left="6094"/>
        <w:rPr>
          <w:sz w:val="28"/>
        </w:rPr>
      </w:pPr>
      <w:r>
        <w:rPr>
          <w:sz w:val="28"/>
        </w:rPr>
        <w:t>к решению Совета депутатов</w:t>
      </w:r>
    </w:p>
    <w:p w14:paraId="04000000">
      <w:pPr>
        <w:ind w:firstLine="0" w:left="6094"/>
        <w:rPr>
          <w:sz w:val="28"/>
        </w:rPr>
      </w:pPr>
      <w:r>
        <w:rPr>
          <w:sz w:val="28"/>
        </w:rPr>
        <w:t>Новосибирского района Новосибирской области</w:t>
      </w:r>
    </w:p>
    <w:p w14:paraId="05000000">
      <w:pPr>
        <w:ind w:firstLine="0" w:left="6094"/>
        <w:rPr>
          <w:b w:val="1"/>
          <w:sz w:val="28"/>
        </w:rPr>
      </w:pPr>
      <w:r>
        <w:rPr>
          <w:sz w:val="28"/>
        </w:rPr>
        <w:t>от 03.11.2022 г. № 7</w:t>
      </w:r>
    </w:p>
    <w:p w14:paraId="06000000">
      <w:pPr>
        <w:rPr>
          <w:sz w:val="28"/>
        </w:rPr>
      </w:pPr>
    </w:p>
    <w:p w14:paraId="07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ПОРЯДОК</w:t>
      </w:r>
    </w:p>
    <w:p w14:paraId="08000000">
      <w:pPr>
        <w:tabs>
          <w:tab w:leader="none" w:pos="1985" w:val="left"/>
        </w:tabs>
        <w:ind w:right="-1"/>
        <w:jc w:val="center"/>
        <w:rPr>
          <w:b w:val="1"/>
          <w:sz w:val="28"/>
        </w:rPr>
      </w:pPr>
      <w:r>
        <w:rPr>
          <w:b w:val="1"/>
          <w:sz w:val="28"/>
        </w:rPr>
        <w:t>предоставления иных межбюджетных трансфертов</w:t>
      </w:r>
    </w:p>
    <w:p w14:paraId="09000000">
      <w:pPr>
        <w:tabs>
          <w:tab w:leader="none" w:pos="1985" w:val="left"/>
        </w:tabs>
        <w:ind w:right="-1"/>
        <w:jc w:val="center"/>
        <w:rPr>
          <w:b w:val="1"/>
          <w:sz w:val="28"/>
        </w:rPr>
      </w:pPr>
      <w:r>
        <w:rPr>
          <w:b w:val="1"/>
          <w:sz w:val="28"/>
        </w:rPr>
        <w:t xml:space="preserve">из бюджета Новосибирского района Новосибирской области </w:t>
      </w:r>
    </w:p>
    <w:p w14:paraId="0A000000">
      <w:pPr>
        <w:tabs>
          <w:tab w:leader="none" w:pos="1985" w:val="left"/>
        </w:tabs>
        <w:ind w:right="-1"/>
        <w:jc w:val="center"/>
        <w:rPr>
          <w:b w:val="1"/>
          <w:sz w:val="28"/>
        </w:rPr>
      </w:pPr>
      <w:r>
        <w:rPr>
          <w:b w:val="1"/>
          <w:sz w:val="28"/>
        </w:rPr>
        <w:t xml:space="preserve">бюджетам муниципальных </w:t>
      </w:r>
      <w:r>
        <w:rPr>
          <w:b w:val="1"/>
          <w:sz w:val="28"/>
        </w:rPr>
        <w:t>образований</w:t>
      </w:r>
    </w:p>
    <w:p w14:paraId="0B000000">
      <w:pPr>
        <w:tabs>
          <w:tab w:leader="none" w:pos="1985" w:val="left"/>
        </w:tabs>
        <w:ind w:right="-1"/>
        <w:jc w:val="center"/>
        <w:rPr>
          <w:b w:val="1"/>
          <w:sz w:val="28"/>
        </w:rPr>
      </w:pPr>
      <w:r>
        <w:rPr>
          <w:b w:val="1"/>
          <w:sz w:val="28"/>
        </w:rPr>
        <w:t>Новосибирского района Новосибирской области</w:t>
      </w:r>
    </w:p>
    <w:p w14:paraId="0C000000">
      <w:pPr>
        <w:tabs>
          <w:tab w:leader="none" w:pos="1985" w:val="left"/>
        </w:tabs>
        <w:ind w:right="-1"/>
        <w:jc w:val="center"/>
        <w:rPr>
          <w:b w:val="1"/>
          <w:sz w:val="28"/>
        </w:rPr>
      </w:pPr>
      <w:r>
        <w:rPr>
          <w:b w:val="1"/>
          <w:sz w:val="28"/>
        </w:rPr>
        <w:t xml:space="preserve">в рамках муниципальной программы Новосибирского района Новосибирской области «Профилактика правонарушений </w:t>
      </w:r>
    </w:p>
    <w:p w14:paraId="0D000000">
      <w:pPr>
        <w:tabs>
          <w:tab w:leader="none" w:pos="1985" w:val="left"/>
        </w:tabs>
        <w:ind w:right="-1"/>
        <w:jc w:val="center"/>
        <w:rPr>
          <w:b w:val="1"/>
          <w:sz w:val="28"/>
        </w:rPr>
      </w:pPr>
      <w:r>
        <w:rPr>
          <w:b w:val="1"/>
          <w:sz w:val="28"/>
        </w:rPr>
        <w:t>на территории Новосибирского района Новосибирской области»,</w:t>
      </w:r>
    </w:p>
    <w:p w14:paraId="0E000000">
      <w:pPr>
        <w:tabs>
          <w:tab w:leader="none" w:pos="1985" w:val="left"/>
        </w:tabs>
        <w:ind w:right="-1"/>
        <w:jc w:val="center"/>
        <w:rPr>
          <w:b w:val="1"/>
          <w:sz w:val="28"/>
        </w:rPr>
      </w:pPr>
      <w:r>
        <w:rPr>
          <w:b w:val="1"/>
          <w:sz w:val="28"/>
        </w:rPr>
        <w:t>утвержденной постановлением админ</w:t>
      </w:r>
      <w:r>
        <w:rPr>
          <w:b w:val="1"/>
          <w:sz w:val="28"/>
        </w:rPr>
        <w:t>истрации Новосибирского района Новосибирской области от 30.03.2022 № 558-па</w:t>
      </w:r>
    </w:p>
    <w:p w14:paraId="0F000000">
      <w:pPr>
        <w:tabs>
          <w:tab w:leader="none" w:pos="1985" w:val="left"/>
        </w:tabs>
        <w:ind/>
        <w:jc w:val="center"/>
        <w:rPr>
          <w:b w:val="1"/>
          <w:sz w:val="28"/>
        </w:rPr>
      </w:pPr>
    </w:p>
    <w:p w14:paraId="10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1. Общие положения</w:t>
      </w:r>
    </w:p>
    <w:p w14:paraId="11000000">
      <w:pPr>
        <w:ind w:firstLine="708" w:left="0"/>
        <w:jc w:val="both"/>
        <w:rPr>
          <w:sz w:val="28"/>
        </w:rPr>
      </w:pPr>
    </w:p>
    <w:p w14:paraId="12000000">
      <w:pPr>
        <w:ind w:firstLine="708" w:left="0"/>
        <w:jc w:val="both"/>
        <w:rPr>
          <w:sz w:val="28"/>
        </w:rPr>
      </w:pPr>
      <w:r>
        <w:rPr>
          <w:sz w:val="28"/>
        </w:rPr>
        <w:t>Порядок предоставления иных межбюджетных трансфертов из бюджета Новосибирского района Новосибирской области бюджетам муниципальных образований Новосибирского р</w:t>
      </w:r>
      <w:r>
        <w:rPr>
          <w:sz w:val="28"/>
        </w:rPr>
        <w:t xml:space="preserve">айона Новосибирской области </w:t>
      </w:r>
      <w:r>
        <w:rPr>
          <w:color w:themeColor="text1" w:val="000000"/>
          <w:sz w:val="28"/>
        </w:rPr>
        <w:t xml:space="preserve">в рамках </w:t>
      </w:r>
      <w:r>
        <w:rPr>
          <w:sz w:val="28"/>
        </w:rPr>
        <w:t>муниципальной программы Новосибирского района Новосибирской области «Профилактика правонарушений на территории Новосибирского района Новосибирской области»,</w:t>
      </w:r>
      <w:r>
        <w:t xml:space="preserve"> </w:t>
      </w:r>
      <w:r>
        <w:rPr>
          <w:sz w:val="28"/>
        </w:rPr>
        <w:t>утвержденной постановлением администрации Новосибирского район</w:t>
      </w:r>
      <w:r>
        <w:rPr>
          <w:sz w:val="28"/>
        </w:rPr>
        <w:t>а Новосибирской области от 30.03.2022 № 558-па (далее - Порядок) разработан в соответствии с Федеральным законом от 06.10.2003    № 131-ФЗ «Об общих принципах организации местного самоуправления                          в Российской Федерации», Бюджетным к</w:t>
      </w:r>
      <w:r>
        <w:rPr>
          <w:sz w:val="28"/>
        </w:rPr>
        <w:t>одексом Российской Федерации, Уставом Новосибирского района Новосибирской области, является муниципальным нормативным правовым актом, устанавливающим порядок предоставления иных межбюджетных трансфертов из бюджета Новосибирского района Новосибирской област</w:t>
      </w:r>
      <w:r>
        <w:rPr>
          <w:sz w:val="28"/>
        </w:rPr>
        <w:t>и бюджетам муниципальных образований Новосибирского района Новосибирской области в целях реализации мероприятий муниципальной программы Новосибирского района Новосибирской области «Профилактика правонарушений на территории Новосибирского района Новосибирск</w:t>
      </w:r>
      <w:r>
        <w:rPr>
          <w:sz w:val="28"/>
        </w:rPr>
        <w:t>ой области»,</w:t>
      </w:r>
      <w:r>
        <w:t xml:space="preserve"> </w:t>
      </w:r>
      <w:r>
        <w:rPr>
          <w:sz w:val="28"/>
        </w:rPr>
        <w:t>утвержденной постановлением администрации Новосибирского района Новосибирской области от 30.03.2022 № 558-па.</w:t>
      </w:r>
    </w:p>
    <w:p w14:paraId="13000000">
      <w:pPr>
        <w:ind w:firstLine="708" w:left="0"/>
        <w:jc w:val="center"/>
        <w:rPr>
          <w:b w:val="1"/>
          <w:sz w:val="28"/>
        </w:rPr>
      </w:pPr>
    </w:p>
    <w:p w14:paraId="14000000">
      <w:pPr>
        <w:ind/>
        <w:jc w:val="center"/>
        <w:rPr>
          <w:b w:val="1"/>
        </w:rPr>
      </w:pPr>
      <w:r>
        <w:rPr>
          <w:b w:val="1"/>
          <w:sz w:val="28"/>
        </w:rPr>
        <w:t>2. Цели предоставления иных межбюджетных трансфертов</w:t>
      </w:r>
    </w:p>
    <w:p w14:paraId="15000000">
      <w:pPr>
        <w:ind w:firstLine="708" w:left="0"/>
        <w:jc w:val="both"/>
        <w:rPr>
          <w:sz w:val="28"/>
        </w:rPr>
      </w:pPr>
    </w:p>
    <w:p w14:paraId="16000000">
      <w:pPr>
        <w:ind w:firstLine="709" w:left="0"/>
        <w:jc w:val="both"/>
        <w:rPr>
          <w:sz w:val="28"/>
        </w:rPr>
      </w:pPr>
      <w:r>
        <w:rPr>
          <w:sz w:val="28"/>
        </w:rPr>
        <w:t>2.1. Иные межбюджетные трансферты предоставляются в целях финансирования расхо</w:t>
      </w:r>
      <w:r>
        <w:rPr>
          <w:sz w:val="28"/>
        </w:rPr>
        <w:t>дных обязательств, возникающих при выполнении полномочий по вопросам местного значения в сфере профилактики правонарушений.</w:t>
      </w:r>
    </w:p>
    <w:p w14:paraId="17000000">
      <w:pPr>
        <w:ind w:firstLine="709" w:left="0"/>
        <w:jc w:val="both"/>
        <w:rPr>
          <w:sz w:val="28"/>
        </w:rPr>
      </w:pPr>
      <w:r>
        <w:rPr>
          <w:sz w:val="28"/>
        </w:rPr>
        <w:t>2.2. В соответствии с целью, указанной в пункте 2.1 Порядка, иные межбюджетные трансферты направляются на финансирование мероприятий</w:t>
      </w:r>
      <w:r>
        <w:rPr>
          <w:sz w:val="28"/>
        </w:rPr>
        <w:t xml:space="preserve">                  в рамках муниципальной программы Новосибирского района Новосибирской области «Профилактика правонарушений на территории Новосибирского района Новосибирской области»,</w:t>
      </w:r>
      <w:r>
        <w:t xml:space="preserve"> </w:t>
      </w:r>
      <w:r>
        <w:rPr>
          <w:sz w:val="28"/>
        </w:rPr>
        <w:t>утвержденной постановлением администрации Новосибирского района Новосиби</w:t>
      </w:r>
      <w:r>
        <w:rPr>
          <w:sz w:val="28"/>
        </w:rPr>
        <w:t xml:space="preserve">рской области от 30.03.2022 № 558-па (далее – муниципальная программа), средства иных межбюджетных трансфертов носят </w:t>
      </w:r>
      <w:bookmarkStart w:id="1" w:name="_GoBack"/>
      <w:bookmarkEnd w:id="1"/>
      <w:r>
        <w:rPr>
          <w:sz w:val="28"/>
        </w:rPr>
        <w:t xml:space="preserve">целевой характер. </w:t>
      </w:r>
    </w:p>
    <w:p w14:paraId="18000000">
      <w:pPr>
        <w:ind w:firstLine="708" w:left="0"/>
        <w:jc w:val="both"/>
        <w:rPr>
          <w:sz w:val="28"/>
        </w:rPr>
      </w:pPr>
    </w:p>
    <w:p w14:paraId="19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3. Условия и порядок предоставления иных межбюджетных трансфертов</w:t>
      </w:r>
    </w:p>
    <w:p w14:paraId="1A000000">
      <w:pPr>
        <w:ind w:firstLine="708" w:left="0"/>
        <w:jc w:val="both"/>
        <w:rPr>
          <w:sz w:val="28"/>
        </w:rPr>
      </w:pPr>
    </w:p>
    <w:p w14:paraId="1B000000">
      <w:pPr>
        <w:ind w:firstLine="708" w:left="0"/>
        <w:jc w:val="both"/>
        <w:rPr>
          <w:sz w:val="28"/>
        </w:rPr>
      </w:pPr>
      <w:r>
        <w:rPr>
          <w:sz w:val="28"/>
        </w:rPr>
        <w:t xml:space="preserve">3.1. Иные межбюджетные трансферты предоставляются в </w:t>
      </w:r>
      <w:r>
        <w:rPr>
          <w:sz w:val="28"/>
        </w:rPr>
        <w:t>пределах бюджетных ассигнований и лимитов бюджетных обязательств, установленных администрации Новосибирского района</w:t>
      </w:r>
      <w:r>
        <w:t xml:space="preserve"> </w:t>
      </w:r>
      <w:r>
        <w:rPr>
          <w:sz w:val="28"/>
        </w:rPr>
        <w:t xml:space="preserve">Новосибирской области (далее – администрация района) </w:t>
      </w:r>
      <w:r>
        <w:rPr>
          <w:sz w:val="28"/>
          <w:highlight w:val="white"/>
        </w:rPr>
        <w:t xml:space="preserve">на соответствующий финансовый год и плановый период, на реализацию данного направления </w:t>
      </w:r>
      <w:r>
        <w:rPr>
          <w:sz w:val="28"/>
          <w:highlight w:val="white"/>
        </w:rPr>
        <w:t>расходов</w:t>
      </w:r>
      <w:r>
        <w:rPr>
          <w:sz w:val="28"/>
        </w:rPr>
        <w:t>.</w:t>
      </w:r>
    </w:p>
    <w:p w14:paraId="1C000000">
      <w:pPr>
        <w:ind w:firstLine="708" w:left="0"/>
        <w:jc w:val="both"/>
        <w:rPr>
          <w:sz w:val="28"/>
        </w:rPr>
      </w:pPr>
      <w:r>
        <w:rPr>
          <w:sz w:val="28"/>
        </w:rPr>
        <w:t xml:space="preserve">3.2. Иные межбюджетные трансферты предоставляются на следующих условиях: </w:t>
      </w:r>
    </w:p>
    <w:p w14:paraId="1D000000">
      <w:pPr>
        <w:ind w:firstLine="708" w:left="0"/>
        <w:jc w:val="both"/>
        <w:rPr>
          <w:sz w:val="28"/>
        </w:rPr>
      </w:pPr>
      <w:r>
        <w:rPr>
          <w:sz w:val="28"/>
        </w:rPr>
        <w:t>3.2.1. Наличие заявки на предоставление иных межбюджетных трансфертов, составленной в произвольной форме.</w:t>
      </w:r>
    </w:p>
    <w:p w14:paraId="1E000000">
      <w:pPr>
        <w:ind w:firstLine="708" w:left="0"/>
        <w:jc w:val="both"/>
        <w:rPr>
          <w:sz w:val="28"/>
        </w:rPr>
      </w:pPr>
      <w:r>
        <w:rPr>
          <w:sz w:val="28"/>
        </w:rPr>
        <w:t>3.2.2. Наличие в бюджете муниципального образования (далее - местн</w:t>
      </w:r>
      <w:r>
        <w:rPr>
          <w:sz w:val="28"/>
        </w:rPr>
        <w:t>ый бюджет) бюджетных ассигнований на исполнение расходных обязательств муниципального образования по финансовому обеспечению мероприятий, предусмотренных в рамках муниципальной программы, на софинансирование которых предоставляются иные межбюджетные трансф</w:t>
      </w:r>
      <w:r>
        <w:rPr>
          <w:sz w:val="28"/>
        </w:rPr>
        <w:t xml:space="preserve">ерты. Доля софинансирования расходного обязательства из местного бюджета устанавливается не менее 5 % от общего объема финансовых средств на реализацию мероприятия. </w:t>
      </w:r>
    </w:p>
    <w:p w14:paraId="1F000000">
      <w:pPr>
        <w:ind w:firstLine="708" w:left="0"/>
        <w:jc w:val="both"/>
        <w:rPr>
          <w:sz w:val="28"/>
        </w:rPr>
      </w:pPr>
      <w:r>
        <w:rPr>
          <w:sz w:val="28"/>
        </w:rPr>
        <w:t>3.2.3. Заключение на срок, соответствующий сроку распределения иных межбюджетных трансферт</w:t>
      </w:r>
      <w:r>
        <w:rPr>
          <w:sz w:val="28"/>
        </w:rPr>
        <w:t>ов между местными бюджетами, соглашения                           о предоставлении иных межбюджетных трансфертов, предусматривающего обязательства муниципальных образований по исполнению расходных обязательств, в целях софинансирования которых предоставляю</w:t>
      </w:r>
      <w:r>
        <w:rPr>
          <w:sz w:val="28"/>
        </w:rPr>
        <w:t>тся иные межбюджетные трансферты, и ответственность за неисполнение предусмотренных указанным соглашением обязательств.</w:t>
      </w:r>
    </w:p>
    <w:p w14:paraId="20000000">
      <w:pPr>
        <w:ind w:firstLine="708" w:left="0"/>
        <w:jc w:val="both"/>
        <w:rPr>
          <w:sz w:val="28"/>
        </w:rPr>
      </w:pPr>
      <w:r>
        <w:rPr>
          <w:sz w:val="28"/>
        </w:rPr>
        <w:t>3.2.4. Наличие утвержденного технического задания на проектирование либо технического задания на приобретение оборудования и (или) монта</w:t>
      </w:r>
      <w:r>
        <w:rPr>
          <w:sz w:val="28"/>
        </w:rPr>
        <w:t>жа (установки), а также движимого имущества.</w:t>
      </w:r>
    </w:p>
    <w:p w14:paraId="21000000">
      <w:pPr>
        <w:ind w:firstLine="708" w:left="0"/>
        <w:jc w:val="both"/>
        <w:rPr>
          <w:sz w:val="28"/>
        </w:rPr>
      </w:pPr>
      <w:r>
        <w:rPr>
          <w:sz w:val="28"/>
        </w:rPr>
        <w:t>3.2.5. Отсутствие неиспользованного остатка иных межбюджетных трансфертов, предоставленных ранее на эти цели.</w:t>
      </w:r>
    </w:p>
    <w:p w14:paraId="22000000">
      <w:pPr>
        <w:ind w:firstLine="709" w:left="0"/>
        <w:jc w:val="both"/>
        <w:rPr>
          <w:sz w:val="28"/>
        </w:rPr>
      </w:pPr>
      <w:r>
        <w:rPr>
          <w:sz w:val="28"/>
        </w:rPr>
        <w:t>3.2.6. Исполнение обязательств по долевому финансированию объектов, включенных в перечень мероприятий</w:t>
      </w:r>
      <w:r>
        <w:rPr>
          <w:sz w:val="28"/>
        </w:rPr>
        <w:t>, указанных в соглашении. Предоставление копии платежного поручения, подтверждающей оплату софинансирования расходного обязательства из местного бюджета.</w:t>
      </w:r>
    </w:p>
    <w:p w14:paraId="23000000">
      <w:pPr>
        <w:ind w:firstLine="709" w:left="0"/>
        <w:jc w:val="both"/>
        <w:rPr>
          <w:sz w:val="28"/>
        </w:rPr>
      </w:pPr>
    </w:p>
    <w:p w14:paraId="24000000">
      <w:pPr>
        <w:ind w:firstLine="709" w:left="0"/>
        <w:jc w:val="both"/>
        <w:rPr>
          <w:sz w:val="28"/>
        </w:rPr>
      </w:pPr>
      <w:r>
        <w:rPr>
          <w:sz w:val="28"/>
        </w:rPr>
        <w:t>3.2.7. Предоставление в администрацию района заверенных копий протоколов заседаний аукционных (конкур</w:t>
      </w:r>
      <w:r>
        <w:rPr>
          <w:sz w:val="28"/>
        </w:rPr>
        <w:t>сных) комиссий по определению победителя и копий заключенных по результатам размещения муниципальных заказов муниципальных контрактов с приложениями (при условии проведения              в соответствии с Федеральным законом от 05.04.2013 44-ФЗ «О контрактно</w:t>
      </w:r>
      <w:r>
        <w:rPr>
          <w:sz w:val="28"/>
        </w:rPr>
        <w:t>й системе в сфере закупок товаров, работ, услуг для обеспечения государственных и муниципальных нужд» аукционов или конкурсов).</w:t>
      </w:r>
    </w:p>
    <w:p w14:paraId="25000000">
      <w:pPr>
        <w:ind w:firstLine="708" w:left="0"/>
        <w:jc w:val="both"/>
      </w:pPr>
      <w:r>
        <w:rPr>
          <w:sz w:val="28"/>
        </w:rPr>
        <w:t>3.2.8. Предоставление документов, подтверждающих наличие выполненных работ (унифицированных форм № КС-3 «Справка о стоимости вып</w:t>
      </w:r>
      <w:r>
        <w:rPr>
          <w:sz w:val="28"/>
        </w:rPr>
        <w:t>олненных работ и затрат», № КС-2 «Акт о приемке выполненных работ», утвержденных постановлением Госкомстата России от 11.11.1999 № 100 «Об утверждении унифицированных форм первичной учетной документации по учету работ в капитальном строительстве и ремонтно</w:t>
      </w:r>
      <w:r>
        <w:rPr>
          <w:sz w:val="28"/>
        </w:rPr>
        <w:t>-строительных работ», актов приема-передачи, актов выполненных работ, товарно-транспортных накладных либо универсальных передаточных документов), платежных поручений.</w:t>
      </w:r>
      <w:r>
        <w:t xml:space="preserve"> </w:t>
      </w:r>
    </w:p>
    <w:p w14:paraId="26000000">
      <w:pPr>
        <w:ind w:firstLine="708" w:left="0"/>
        <w:jc w:val="both"/>
        <w:rPr>
          <w:sz w:val="28"/>
        </w:rPr>
      </w:pPr>
      <w:r>
        <w:rPr>
          <w:sz w:val="28"/>
        </w:rPr>
        <w:t>3.2.9. Наличие расчета потребности финансовых средств на проведение мероприятия.</w:t>
      </w:r>
    </w:p>
    <w:p w14:paraId="27000000">
      <w:pPr>
        <w:ind w:firstLine="709" w:left="0"/>
        <w:jc w:val="both"/>
        <w:rPr>
          <w:sz w:val="28"/>
        </w:rPr>
      </w:pPr>
      <w:r>
        <w:rPr>
          <w:sz w:val="28"/>
        </w:rPr>
        <w:t>3.3. Не</w:t>
      </w:r>
      <w:r>
        <w:rPr>
          <w:sz w:val="28"/>
        </w:rPr>
        <w:t>использованный остаток по состоянию на 1 октября текущего финансового года иных межбюджетных трансфертов подлежит возврату в доход бюджета Новосибирского района Новосибирской области до 31 октября финансового года.</w:t>
      </w:r>
    </w:p>
    <w:p w14:paraId="28000000">
      <w:pPr>
        <w:ind w:firstLine="708" w:left="0"/>
        <w:jc w:val="both"/>
        <w:rPr>
          <w:sz w:val="28"/>
        </w:rPr>
      </w:pPr>
      <w:r>
        <w:rPr>
          <w:sz w:val="28"/>
        </w:rPr>
        <w:t>3.4. Основные цели, задачи и целевые инди</w:t>
      </w:r>
      <w:r>
        <w:rPr>
          <w:sz w:val="28"/>
        </w:rPr>
        <w:t xml:space="preserve">каторы определяются муниципальной программой. </w:t>
      </w:r>
    </w:p>
    <w:p w14:paraId="29000000">
      <w:pPr>
        <w:pStyle w:val="Style_1"/>
        <w:ind w:firstLine="709" w:left="0"/>
        <w:jc w:val="both"/>
      </w:pPr>
      <w:r>
        <w:t>3.5. Соглашение между администрацией района и администрацией муниципального образования о предоставлении иных межбюджетных трансфертов предусматривает:</w:t>
      </w:r>
    </w:p>
    <w:p w14:paraId="2A000000">
      <w:pPr>
        <w:pStyle w:val="Style_1"/>
        <w:ind w:firstLine="709" w:left="0"/>
        <w:jc w:val="both"/>
      </w:pPr>
      <w:r>
        <w:t>- перечень необходимых документов, на основании которых п</w:t>
      </w:r>
      <w:r>
        <w:t>роисходит предоставление иных межбюджетных трансфертов;</w:t>
      </w:r>
    </w:p>
    <w:p w14:paraId="2B000000">
      <w:pPr>
        <w:pStyle w:val="Style_1"/>
        <w:ind w:firstLine="709" w:left="0"/>
        <w:jc w:val="both"/>
      </w:pPr>
      <w:r>
        <w:t>- направление предоставленных иных межбюджетных трансфертов;</w:t>
      </w:r>
    </w:p>
    <w:p w14:paraId="2C000000">
      <w:pPr>
        <w:pStyle w:val="Style_1"/>
        <w:ind w:firstLine="709" w:left="0"/>
        <w:jc w:val="both"/>
      </w:pPr>
      <w:r>
        <w:t>- объем иных межбюджетных трансфертов;</w:t>
      </w:r>
    </w:p>
    <w:p w14:paraId="2D000000">
      <w:pPr>
        <w:pStyle w:val="Style_1"/>
        <w:ind w:firstLine="709" w:left="0"/>
        <w:jc w:val="both"/>
      </w:pPr>
      <w:r>
        <w:t>- уровень софинансирования расходных обязательств муниципального образования,</w:t>
      </w:r>
      <w:r>
        <w:t xml:space="preserve"> выраженный в процентах от объема бюджетных ассигнований на исполнение расходных обязательств поселения, предусмотренных в местном бюджете, в целях софинансирования которых предоставляются иные межбюджетные трансферты;</w:t>
      </w:r>
    </w:p>
    <w:p w14:paraId="2E000000">
      <w:pPr>
        <w:pStyle w:val="Style_1"/>
        <w:ind w:firstLine="709" w:left="0"/>
        <w:jc w:val="both"/>
      </w:pPr>
      <w:r>
        <w:t>- сроки перечисления иных межбюджетны</w:t>
      </w:r>
      <w:r>
        <w:t>х трансфертов;</w:t>
      </w:r>
    </w:p>
    <w:p w14:paraId="2F000000">
      <w:pPr>
        <w:pStyle w:val="Style_1"/>
        <w:ind w:firstLine="709" w:left="0"/>
        <w:jc w:val="both"/>
      </w:pPr>
      <w:r>
        <w:t>- форма, а также порядок и сроки предоставления отчетности об исполнении соглашения в части информации о достижении целей, показателей, результатов, установленных при предоставлении иных межбюджетных трансфертов;</w:t>
      </w:r>
    </w:p>
    <w:p w14:paraId="30000000">
      <w:pPr>
        <w:pStyle w:val="Style_1"/>
        <w:ind w:firstLine="709" w:left="0"/>
        <w:jc w:val="both"/>
      </w:pPr>
      <w:r>
        <w:t>- порядок и сроки возврата и</w:t>
      </w:r>
      <w:r>
        <w:t>ных межбюджетных трансфертов в случае несоблюдения поселением целей и условий, определенных соглашением;</w:t>
      </w:r>
    </w:p>
    <w:p w14:paraId="31000000">
      <w:pPr>
        <w:pStyle w:val="Style_1"/>
        <w:ind w:firstLine="709" w:left="0"/>
        <w:jc w:val="both"/>
      </w:pPr>
      <w:r>
        <w:t>- ответственность поселения за нарушение условий предоставления иных межбюджетных трансфертов;</w:t>
      </w:r>
    </w:p>
    <w:p w14:paraId="32000000">
      <w:pPr>
        <w:pStyle w:val="Style_1"/>
        <w:ind w:firstLine="709" w:left="0"/>
        <w:jc w:val="both"/>
      </w:pPr>
      <w:r>
        <w:t xml:space="preserve">- ответственность сторон за нарушение условий </w:t>
      </w:r>
      <w:r>
        <w:t>соглашения;</w:t>
      </w:r>
    </w:p>
    <w:p w14:paraId="33000000">
      <w:pPr>
        <w:pStyle w:val="Style_1"/>
        <w:ind w:firstLine="709" w:left="0"/>
        <w:jc w:val="both"/>
      </w:pPr>
      <w:r>
        <w:t>- основания и порядок внесения изменений в соглашение;</w:t>
      </w:r>
    </w:p>
    <w:p w14:paraId="34000000">
      <w:pPr>
        <w:ind w:firstLine="708" w:left="0"/>
        <w:jc w:val="both"/>
        <w:rPr>
          <w:sz w:val="28"/>
        </w:rPr>
      </w:pPr>
      <w:r>
        <w:rPr>
          <w:sz w:val="28"/>
        </w:rPr>
        <w:t>- плановые показатели (результаты), характеризующие достижение целей предоставления иных межбюджетных трансфертов;</w:t>
      </w:r>
    </w:p>
    <w:p w14:paraId="35000000">
      <w:pPr>
        <w:ind w:firstLine="708" w:left="0"/>
        <w:jc w:val="both"/>
        <w:rPr>
          <w:sz w:val="28"/>
        </w:rPr>
      </w:pPr>
      <w:r>
        <w:rPr>
          <w:sz w:val="28"/>
        </w:rPr>
        <w:t xml:space="preserve">- предоставление отчетных документов, подтверждающих выполнение           </w:t>
      </w:r>
      <w:r>
        <w:rPr>
          <w:sz w:val="28"/>
        </w:rPr>
        <w:t xml:space="preserve">        и оплату мероприятий;</w:t>
      </w:r>
    </w:p>
    <w:p w14:paraId="36000000">
      <w:pPr>
        <w:pStyle w:val="Style_1"/>
        <w:ind w:firstLine="709" w:left="0"/>
        <w:jc w:val="both"/>
      </w:pPr>
      <w:bookmarkStart w:id="2" w:name="Par96"/>
      <w:bookmarkEnd w:id="2"/>
      <w:bookmarkStart w:id="3" w:name="Par97"/>
      <w:bookmarkEnd w:id="3"/>
      <w:r>
        <w:t>- иные положения, установленные администрацией района                                  (при необходимости).</w:t>
      </w:r>
    </w:p>
    <w:p w14:paraId="37000000">
      <w:pPr>
        <w:ind w:firstLine="708" w:left="0"/>
        <w:jc w:val="both"/>
        <w:rPr>
          <w:sz w:val="28"/>
        </w:rPr>
      </w:pPr>
    </w:p>
    <w:p w14:paraId="38000000">
      <w:pPr>
        <w:tabs>
          <w:tab w:leader="none" w:pos="1985" w:val="left"/>
        </w:tabs>
        <w:ind w:firstLine="0" w:left="1985" w:right="1700"/>
        <w:jc w:val="center"/>
        <w:rPr>
          <w:b w:val="1"/>
          <w:sz w:val="28"/>
        </w:rPr>
      </w:pPr>
    </w:p>
    <w:p w14:paraId="39000000"/>
    <w:sectPr>
      <w:headerReference r:id="rId1" w:type="default"/>
      <w:pgSz w:h="16838" w:orient="portrait" w:w="11906"/>
      <w:pgMar w:bottom="1134" w:footer="708" w:gutter="0" w:header="708" w:left="1418" w:right="566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sz w:val="20"/>
      </w:rPr>
      <w:fldChar w:fldCharType="begin"/>
    </w:r>
    <w:r>
      <w:rPr>
        <w:sz w:val="20"/>
      </w:rPr>
      <w:instrText>PAGE \* Arabic</w:instrText>
    </w:r>
    <w:r>
      <w:rPr>
        <w:sz w:val="20"/>
      </w:rPr>
      <w:fldChar w:fldCharType="separate"/>
    </w:r>
    <w:r>
      <w:rPr>
        <w:sz w:val="20"/>
      </w:rPr>
      <w:fldChar w:fldCharType="end"/>
    </w:r>
  </w:p>
  <w:p w14:paraId="01000000">
    <w:pPr>
      <w:rPr>
        <w:b w:val="1"/>
        <w:sz w:val="20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Times New Roman" w:hAnsi="Times New Roman"/>
      <w:sz w:val="28"/>
    </w:rPr>
  </w:style>
  <w:style w:styleId="Style_1_ch" w:type="character">
    <w:name w:val="ConsPlusNormal"/>
    <w:link w:val="Style_1"/>
    <w:rPr>
      <w:rFonts w:ascii="Times New Roman" w:hAnsi="Times New Roman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Гиперссылка1"/>
    <w:link w:val="Style_8_ch"/>
    <w:rPr>
      <w:color w:val="0000FF"/>
      <w:u w:val="single"/>
    </w:rPr>
  </w:style>
  <w:style w:styleId="Style_8_ch" w:type="character">
    <w:name w:val="Гиперссылка1"/>
    <w:link w:val="Style_8"/>
    <w:rPr>
      <w:color w:val="0000FF"/>
      <w:u w:val="single"/>
    </w:rPr>
  </w:style>
  <w:style w:styleId="Style_9" w:type="paragraph">
    <w:name w:val="Обычный1"/>
    <w:link w:val="Style_9_ch"/>
    <w:rPr>
      <w:rFonts w:ascii="Times New Roman" w:hAnsi="Times New Roman"/>
      <w:sz w:val="24"/>
    </w:rPr>
  </w:style>
  <w:style w:styleId="Style_9_ch" w:type="character">
    <w:name w:val="Обычный1"/>
    <w:link w:val="Style_9"/>
    <w:rPr>
      <w:rFonts w:ascii="Times New Roman" w:hAnsi="Times New Roman"/>
      <w:sz w:val="24"/>
    </w:rPr>
  </w:style>
  <w:style w:styleId="Style_10" w:type="paragraph">
    <w:name w:val="toc 3"/>
    <w:next w:val="Style_2"/>
    <w:link w:val="Style_10_ch"/>
    <w:uiPriority w:val="39"/>
    <w:pPr>
      <w:ind w:firstLine="0" w:left="400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Balloon Text"/>
    <w:basedOn w:val="Style_2"/>
    <w:link w:val="Style_11_ch"/>
    <w:rPr>
      <w:rFonts w:ascii="Segoe UI" w:hAnsi="Segoe UI"/>
      <w:sz w:val="18"/>
    </w:rPr>
  </w:style>
  <w:style w:styleId="Style_11_ch" w:type="character">
    <w:name w:val="Balloon Text"/>
    <w:basedOn w:val="Style_2_ch"/>
    <w:link w:val="Style_11"/>
    <w:rPr>
      <w:rFonts w:ascii="Segoe UI" w:hAnsi="Segoe UI"/>
      <w:sz w:val="1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2_ch" w:type="character">
    <w:name w:val="heading 5"/>
    <w:link w:val="Style_12"/>
    <w:rPr>
      <w:rFonts w:ascii="XO Thames" w:hAnsi="XO Thames"/>
      <w:b w:val="1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footer"/>
    <w:basedOn w:val="Style_2"/>
    <w:link w:val="Style_14_ch"/>
    <w:pPr>
      <w:tabs>
        <w:tab w:leader="none" w:pos="4677" w:val="center"/>
        <w:tab w:leader="none" w:pos="9355" w:val="right"/>
      </w:tabs>
      <w:ind/>
    </w:pPr>
  </w:style>
  <w:style w:styleId="Style_14_ch" w:type="character">
    <w:name w:val="footer"/>
    <w:basedOn w:val="Style_2_ch"/>
    <w:link w:val="Style_14"/>
  </w:style>
  <w:style w:styleId="Style_15" w:type="paragraph">
    <w:name w:val="header"/>
    <w:basedOn w:val="Style_2"/>
    <w:link w:val="Style_15_ch"/>
    <w:pPr>
      <w:tabs>
        <w:tab w:leader="none" w:pos="4677" w:val="center"/>
        <w:tab w:leader="none" w:pos="9355" w:val="right"/>
      </w:tabs>
      <w:ind/>
    </w:pPr>
  </w:style>
  <w:style w:styleId="Style_15_ch" w:type="character">
    <w:name w:val="header"/>
    <w:basedOn w:val="Style_2_ch"/>
    <w:link w:val="Style_15"/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</w:rPr>
  </w:style>
  <w:style w:styleId="Style_17_ch" w:type="character">
    <w:name w:val="Footnote"/>
    <w:link w:val="Style_17"/>
    <w:rPr>
      <w:rFonts w:ascii="XO Thames" w:hAnsi="XO Thames"/>
    </w:rPr>
  </w:style>
  <w:style w:styleId="Style_18" w:type="paragraph">
    <w:name w:val="toc 1"/>
    <w:next w:val="Style_2"/>
    <w:link w:val="Style_18_ch"/>
    <w:uiPriority w:val="39"/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2"/>
    <w:link w:val="Style_20_ch"/>
    <w:uiPriority w:val="39"/>
    <w:pPr>
      <w:ind w:firstLine="0" w:left="1600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Основной шрифт абзаца1"/>
    <w:link w:val="Style_21_ch"/>
  </w:style>
  <w:style w:styleId="Style_21_ch" w:type="character">
    <w:name w:val="Основной шрифт абзаца1"/>
    <w:link w:val="Style_21"/>
  </w:style>
  <w:style w:styleId="Style_22" w:type="paragraph">
    <w:name w:val="toc 8"/>
    <w:next w:val="Style_2"/>
    <w:link w:val="Style_22_ch"/>
    <w:uiPriority w:val="39"/>
    <w:pPr>
      <w:ind w:firstLine="0" w:left="1400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2"/>
    <w:link w:val="Style_23_ch"/>
    <w:uiPriority w:val="39"/>
    <w:pPr>
      <w:ind w:firstLine="0" w:left="800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2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2022-11-07T08:08:36Z</dcterms:modified>
</cp:coreProperties>
</file>